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Times New Roman" w:hAnsi="Times New Roman" w:eastAsia="Times New Roman" w:cs="Times New Roman"/>
          <w:sz w:val="24"/>
          <w:szCs w:val="24"/>
        </w:rPr>
      </w:pPr>
      <w:r>
        <w:rPr/>
        <w:t xml:space="preserve"> </w:t>
      </w:r>
      <w:r>
        <w:rPr>
          <w:rFonts w:eastAsia="Times New Roman" w:cs="Arial" w:ascii="Arial" w:hAnsi="Arial"/>
          <w:sz w:val="24"/>
          <w:szCs w:val="24"/>
        </w:rPr>
        <w:t>Duo-Literatur für Gitarre und Klavier? Auch Original-Literatur? Oh, ja.</w:t>
      </w:r>
    </w:p>
    <w:p>
      <w:pPr>
        <w:pStyle w:val="Normal"/>
        <w:spacing w:lineRule="auto" w:line="240" w:beforeAutospacing="1" w:afterAutospacing="1"/>
        <w:ind w:hanging="0" w:start="0"/>
        <w:rPr>
          <w:rFonts w:ascii="Times New Roman" w:hAnsi="Times New Roman" w:eastAsia="Times New Roman" w:cs="Times New Roman"/>
          <w:color w:val="auto"/>
          <w:sz w:val="24"/>
          <w:szCs w:val="24"/>
        </w:rPr>
      </w:pPr>
      <w:r>
        <w:rPr>
          <w:rFonts w:eastAsia="Times New Roman" w:cs="Arial" w:ascii="Arial" w:hAnsi="Arial"/>
          <w:color w:val="auto"/>
          <w:sz w:val="24"/>
          <w:szCs w:val="24"/>
        </w:rPr>
        <w:t> </w:t>
      </w:r>
      <w:r>
        <w:rPr>
          <w:rFonts w:eastAsia="Times New Roman" w:cs="Arial" w:ascii="Arial" w:hAnsi="Arial"/>
          <w:color w:val="auto"/>
          <w:sz w:val="24"/>
          <w:szCs w:val="24"/>
        </w:rPr>
        <w:t>Anfang des 19. Jahrhunderts erfreuten sich Kompositionen für Gitarre und Hammerklavier sogar großer Beliebtheit.</w:t>
      </w:r>
    </w:p>
    <w:p>
      <w:pPr>
        <w:pStyle w:val="Normal"/>
        <w:spacing w:lineRule="auto" w:line="240" w:beforeAutospacing="1" w:afterAutospacing="1"/>
        <w:ind w:hanging="0" w:start="0"/>
        <w:rPr>
          <w:rFonts w:ascii="Times New Roman" w:hAnsi="Times New Roman" w:eastAsia="Times New Roman" w:cs="Times New Roman"/>
          <w:color w:val="auto"/>
          <w:sz w:val="24"/>
          <w:szCs w:val="24"/>
        </w:rPr>
      </w:pPr>
      <w:r>
        <w:rPr>
          <w:rFonts w:eastAsia="Times New Roman" w:cs="Arial" w:ascii="Arial" w:hAnsi="Arial"/>
          <w:color w:val="auto"/>
          <w:sz w:val="24"/>
          <w:szCs w:val="24"/>
        </w:rPr>
        <w:t> </w:t>
      </w:r>
      <w:r>
        <w:rPr>
          <w:rFonts w:eastAsia="Times New Roman" w:cs="Arial" w:ascii="Arial" w:hAnsi="Arial"/>
          <w:color w:val="auto"/>
          <w:sz w:val="24"/>
          <w:szCs w:val="24"/>
        </w:rPr>
        <w:t xml:space="preserve">Während der hundert Jahre zwischen 1780 und 1880 erlebten sowohl der Gitarren als auch der Klavierbau eine enorme Entwicklung und die Klangideale änderten sich ca. alle 10 bis 20 Jahre. Vor allem der Hammerflügel wechselte vom - anfangs obertonreichen, eher an das Cembalo erinnernden - zum warmen und vollen Klang der heutigen Konzertflügel. </w:t>
      </w:r>
    </w:p>
    <w:p>
      <w:pPr>
        <w:pStyle w:val="Normal"/>
        <w:spacing w:lineRule="auto" w:line="240" w:beforeAutospacing="1" w:afterAutospacing="1"/>
        <w:ind w:hanging="0" w:start="0"/>
        <w:rPr>
          <w:rFonts w:ascii="Times New Roman" w:hAnsi="Times New Roman" w:eastAsia="Times New Roman" w:cs="Times New Roman"/>
          <w:color w:val="auto"/>
          <w:sz w:val="24"/>
          <w:szCs w:val="24"/>
        </w:rPr>
      </w:pPr>
      <w:r>
        <w:rPr>
          <w:rFonts w:eastAsia="Times New Roman" w:cs="Arial" w:ascii="Arial" w:hAnsi="Arial"/>
          <w:color w:val="auto"/>
          <w:sz w:val="24"/>
          <w:szCs w:val="24"/>
        </w:rPr>
        <w:t> </w:t>
      </w:r>
      <w:r>
        <w:rPr>
          <w:rFonts w:eastAsia="Times New Roman" w:cs="Arial" w:ascii="Arial" w:hAnsi="Arial"/>
          <w:color w:val="auto"/>
          <w:sz w:val="24"/>
          <w:szCs w:val="24"/>
        </w:rPr>
        <w:t xml:space="preserve">Nur in der relativ kurzen Zeitspanne von 1810 bis 1830 ermöglichte die Konstruktion des Hammerflügels Qualitäten zu entwickeln, deren klangliches Ergebnis eher dem einer „romantischen Gitarre“ glich - ähnliche Möglichkeiten der Artikulation, ein ähnliches Timbre und Lautstärke, sowie ebenso große Vielfalt der Klangfarben - als dem, was wir heute unter „Klavier“ verstehen. </w:t>
      </w:r>
    </w:p>
    <w:p>
      <w:pPr>
        <w:pStyle w:val="Normal"/>
        <w:spacing w:lineRule="auto" w:line="240" w:beforeAutospacing="1" w:afterAutospacing="1"/>
        <w:ind w:hanging="0" w:start="0"/>
        <w:rPr>
          <w:rFonts w:ascii="Times New Roman" w:hAnsi="Times New Roman" w:eastAsia="Times New Roman" w:cs="Times New Roman"/>
          <w:color w:val="auto"/>
          <w:sz w:val="24"/>
          <w:szCs w:val="24"/>
        </w:rPr>
      </w:pPr>
      <w:r>
        <w:rPr>
          <w:rFonts w:eastAsia="Times New Roman" w:cs="Arial" w:ascii="Arial" w:hAnsi="Arial"/>
          <w:color w:val="auto"/>
          <w:sz w:val="24"/>
          <w:szCs w:val="24"/>
        </w:rPr>
        <w:t xml:space="preserve">So ergibt sich beim Zusammenspiel der beiden Instrumente der Eindruck eines einzigen farbenreichen Instrumentes – homogen und kontrastreich.  </w:t>
      </w:r>
    </w:p>
    <w:p>
      <w:pPr>
        <w:pStyle w:val="Normal"/>
        <w:spacing w:lineRule="auto" w:line="240" w:beforeAutospacing="1" w:afterAutospacing="1"/>
        <w:ind w:hanging="0" w:start="0"/>
        <w:rPr>
          <w:rFonts w:ascii="Times New Roman" w:hAnsi="Times New Roman" w:eastAsia="Times New Roman" w:cs="Times New Roman"/>
          <w:color w:val="auto"/>
          <w:sz w:val="24"/>
          <w:szCs w:val="24"/>
        </w:rPr>
      </w:pPr>
      <w:r>
        <w:rPr>
          <w:rFonts w:eastAsia="Times New Roman" w:cs="Arial" w:ascii="Arial" w:hAnsi="Arial"/>
          <w:color w:val="auto"/>
          <w:sz w:val="24"/>
          <w:szCs w:val="24"/>
        </w:rPr>
        <w:t> </w:t>
      </w:r>
      <w:r>
        <w:rPr>
          <w:rFonts w:eastAsia="Times New Roman" w:cs="Arial" w:ascii="Arial" w:hAnsi="Arial"/>
          <w:color w:val="auto"/>
          <w:sz w:val="24"/>
          <w:szCs w:val="24"/>
        </w:rPr>
        <w:t xml:space="preserve">Berühmte Komponisten dieser Zeit wie I. Moscheles (1794-1870) , J. N. Hummel (1778-1837), A. Diabelli (1781-1858) oder C. M. von Weber (1786-1826) waren fasziniert von der Äquivalenz der beiden Instrumente und ließen sich zu reizvollen Werken inspirieren. Vor allem der italienische Gitarrist und Komponist Ferdinando Carulli (1771-1841) hinterließ für diese Besetzung eine große Anzahl von Originalwerken und Transkriptionen für diese Besetzung, die er gemeinsam mit seinem Sohn Gustavo auf zahlreichen Konzertreisen durch Europa spielte.  </w:t>
      </w:r>
    </w:p>
    <w:p>
      <w:pPr>
        <w:pStyle w:val="Normal"/>
        <w:spacing w:lineRule="auto" w:line="240" w:before="0" w:after="0"/>
        <w:ind w:hanging="0" w:start="0"/>
        <w:rPr>
          <w:rFonts w:ascii="Times New Roman" w:hAnsi="Times New Roman" w:eastAsia="Times New Roman" w:cs="Times New Roman"/>
          <w:color w:val="auto"/>
          <w:sz w:val="24"/>
          <w:szCs w:val="24"/>
        </w:rPr>
      </w:pPr>
      <w:r>
        <w:rPr>
          <w:rFonts w:eastAsia="Times New Roman" w:cs="Arial" w:ascii="Arial" w:hAnsi="Arial"/>
          <w:color w:val="auto"/>
          <w:sz w:val="24"/>
          <w:szCs w:val="24"/>
        </w:rPr>
        <w:t> </w:t>
      </w:r>
    </w:p>
    <w:p>
      <w:pPr>
        <w:pStyle w:val="Normal"/>
        <w:widowControl/>
        <w:bidi w:val="0"/>
        <w:spacing w:lineRule="auto" w:line="257" w:before="0" w:after="154"/>
        <w:ind w:hanging="10" w:start="10"/>
        <w:jc w:val="start"/>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Light">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4f5"/>
    <w:pPr>
      <w:widowControl/>
      <w:bidi w:val="0"/>
      <w:spacing w:lineRule="auto" w:line="257" w:before="0" w:after="154"/>
      <w:ind w:hanging="10" w:start="10"/>
      <w:jc w:val="start"/>
    </w:pPr>
    <w:rPr>
      <w:rFonts w:ascii="Calibri" w:hAnsi="Calibri" w:eastAsia="Calibri" w:cs="Calibri"/>
      <w:color w:val="000000"/>
      <w:kern w:val="0"/>
      <w:sz w:val="23"/>
      <w:szCs w:val="22"/>
      <w:lang w:eastAsia="de-DE" w:val="de-DE" w:bidi="ar-SA"/>
    </w:rPr>
  </w:style>
  <w:style w:type="character" w:styleId="DefaultParagraphFont" w:default="1">
    <w:name w:val="Default Paragraph Font"/>
    <w:uiPriority w:val="1"/>
    <w:semiHidden/>
    <w:unhideWhenUsed/>
    <w:qFormat/>
    <w:rPr/>
  </w:style>
  <w:style w:type="character" w:styleId="TitelZchn" w:customStyle="1">
    <w:name w:val="Titel Zchn"/>
    <w:basedOn w:val="DefaultParagraphFont"/>
    <w:uiPriority w:val="10"/>
    <w:qFormat/>
    <w:rsid w:val="000c3188"/>
    <w:rPr>
      <w:rFonts w:ascii="Calibri Light" w:hAnsi="Calibri Light" w:eastAsia="" w:cs="" w:asciiTheme="majorHAnsi" w:cstheme="majorBidi" w:eastAsiaTheme="majorEastAsia" w:hAnsiTheme="majorHAnsi"/>
      <w:spacing w:val="-10"/>
      <w:kern w:val="2"/>
      <w:sz w:val="56"/>
      <w:szCs w:val="56"/>
      <w:lang w:eastAsia="de-D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0c3188"/>
    <w:pPr>
      <w:spacing w:lineRule="auto" w:line="240" w:before="0" w:after="0"/>
      <w:contextualSpacing/>
    </w:pPr>
    <w:rPr>
      <w:rFonts w:ascii="Calibri Light" w:hAnsi="Calibri Light" w:eastAsia="" w:cs="" w:asciiTheme="majorHAnsi" w:cstheme="majorBidi" w:eastAsiaTheme="majorEastAsia" w:hAnsiTheme="majorHAnsi"/>
      <w:color w:val="auto"/>
      <w:spacing w:val="-10"/>
      <w:kern w:val="2"/>
      <w:sz w:val="56"/>
      <w:szCs w:val="56"/>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ages>1</Pages>
  <Words>219</Words>
  <Characters>1364</Characters>
  <CharactersWithSpaces>1590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2022-05-05T09:40:00Z</dcterms:created>
  <dc:creator>Alexander-Sergei Ramirez</dc:creator>
  <dc:description/>
  <dc:language>de-DE</dc:language>
  <cp:lastModifiedBy>Alexander-Sergei Ramirez</cp:lastModifiedBy>
  <dcterms:modified xsi:type="dcterms:W3CDTF">2022-05-05T09:40:00Z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